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22A7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C22A7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77BF784F" w:rsidR="009C2829" w:rsidRPr="000257FB" w:rsidRDefault="005D363A" w:rsidP="00F446B2">
            <w:pPr>
              <w:pStyle w:val="Header"/>
              <w:jc w:val="center"/>
              <w:rPr>
                <w:rFonts w:asciiTheme="majorHAnsi" w:hAnsiTheme="majorHAnsi"/>
                <w:b/>
              </w:rPr>
            </w:pPr>
            <w:r>
              <w:rPr>
                <w:rFonts w:asciiTheme="majorHAnsi" w:hAnsiTheme="majorHAnsi"/>
                <w:b/>
                <w:sz w:val="22"/>
              </w:rPr>
              <w:t>Feb. 2</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038AAEC1" w14:textId="7A5EE40C" w:rsidR="00936B3A" w:rsidRDefault="00724EA1" w:rsidP="008B6179">
            <w:pPr>
              <w:rPr>
                <w:rFonts w:ascii="Calibri Light" w:hAnsi="Calibri Light"/>
                <w:b/>
                <w:noProof/>
                <w:sz w:val="20"/>
              </w:rPr>
            </w:pPr>
            <w:r>
              <w:rPr>
                <w:rFonts w:ascii="Calibri Light" w:hAnsi="Calibri Light"/>
                <w:b/>
                <w:noProof/>
                <w:sz w:val="20"/>
              </w:rPr>
              <w:t>OCE</w:t>
            </w:r>
          </w:p>
          <w:p w14:paraId="0E8EBC73" w14:textId="77777777" w:rsidR="00724EA1" w:rsidRPr="00724EA1" w:rsidRDefault="00724EA1" w:rsidP="00724EA1">
            <w:pPr>
              <w:rPr>
                <w:rFonts w:ascii="Calibri Light" w:hAnsi="Calibri Light"/>
                <w:noProof/>
                <w:sz w:val="20"/>
              </w:rPr>
            </w:pPr>
            <w:r w:rsidRPr="00724EA1">
              <w:rPr>
                <w:rFonts w:ascii="Calibri Light" w:hAnsi="Calibri Light"/>
                <w:noProof/>
                <w:sz w:val="20"/>
              </w:rPr>
              <w:t>The Rising 4</w:t>
            </w:r>
            <w:r w:rsidRPr="00724EA1">
              <w:rPr>
                <w:rFonts w:ascii="Calibri Light" w:hAnsi="Calibri Light"/>
                <w:noProof/>
                <w:sz w:val="20"/>
                <w:vertAlign w:val="superscript"/>
              </w:rPr>
              <w:t>th</w:t>
            </w:r>
            <w:r w:rsidRPr="00724EA1">
              <w:rPr>
                <w:rFonts w:ascii="Calibri Light" w:hAnsi="Calibri Light"/>
                <w:noProof/>
                <w:sz w:val="20"/>
              </w:rPr>
              <w:t xml:space="preserve"> Year Meeting was recently held in Austin, Texas on January 31, 2017 by the Office of Clinical Education.</w:t>
            </w:r>
          </w:p>
          <w:p w14:paraId="14E04333" w14:textId="01601CF9" w:rsidR="00724EA1" w:rsidRPr="00724EA1" w:rsidRDefault="00724EA1" w:rsidP="00724EA1">
            <w:pPr>
              <w:rPr>
                <w:rFonts w:ascii="Calibri Light" w:hAnsi="Calibri Light"/>
                <w:noProof/>
                <w:sz w:val="20"/>
              </w:rPr>
            </w:pPr>
            <w:r w:rsidRPr="00724EA1">
              <w:rPr>
                <w:rFonts w:ascii="Calibri Light" w:hAnsi="Calibri Light"/>
                <w:noProof/>
                <w:sz w:val="20"/>
              </w:rPr>
              <w:t>Students learned about requirements and opportunities for their senior year of medical</w:t>
            </w:r>
            <w:r>
              <w:rPr>
                <w:rFonts w:ascii="Calibri Light" w:hAnsi="Calibri Light"/>
                <w:noProof/>
                <w:sz w:val="20"/>
              </w:rPr>
              <w:t xml:space="preserve"> school. </w:t>
            </w:r>
          </w:p>
          <w:p w14:paraId="7A7EB093" w14:textId="77777777" w:rsidR="00724EA1" w:rsidRPr="00724EA1" w:rsidRDefault="00724EA1" w:rsidP="00724EA1">
            <w:pPr>
              <w:rPr>
                <w:rFonts w:ascii="Calibri Light" w:hAnsi="Calibri Light"/>
                <w:noProof/>
                <w:sz w:val="20"/>
              </w:rPr>
            </w:pPr>
          </w:p>
          <w:p w14:paraId="6948E851" w14:textId="77777777" w:rsidR="00724EA1" w:rsidRDefault="00724EA1" w:rsidP="00724EA1">
            <w:pPr>
              <w:rPr>
                <w:rFonts w:ascii="Calibri Light" w:hAnsi="Calibri Light"/>
                <w:noProof/>
                <w:sz w:val="20"/>
              </w:rPr>
            </w:pPr>
            <w:r w:rsidRPr="00724EA1">
              <w:rPr>
                <w:rFonts w:ascii="Calibri Light" w:hAnsi="Calibri Light"/>
                <w:noProof/>
                <w:sz w:val="20"/>
              </w:rPr>
              <w:t>The Rising 4</w:t>
            </w:r>
            <w:r w:rsidRPr="00724EA1">
              <w:rPr>
                <w:rFonts w:ascii="Calibri Light" w:hAnsi="Calibri Light"/>
                <w:noProof/>
                <w:sz w:val="20"/>
                <w:vertAlign w:val="superscript"/>
              </w:rPr>
              <w:t>th</w:t>
            </w:r>
            <w:r w:rsidRPr="00724EA1">
              <w:rPr>
                <w:rFonts w:ascii="Calibri Light" w:hAnsi="Calibri Light"/>
                <w:noProof/>
                <w:sz w:val="20"/>
              </w:rPr>
              <w:t xml:space="preserve"> Year meeting for Galveston students will be held on Monday, February 6, 2017 in Levin Hall at the UTMB Galveston campus.</w:t>
            </w:r>
          </w:p>
          <w:p w14:paraId="5F4437A6" w14:textId="77777777" w:rsidR="00724EA1" w:rsidRDefault="00724EA1" w:rsidP="00724EA1">
            <w:pPr>
              <w:rPr>
                <w:rFonts w:ascii="Calibri Light" w:hAnsi="Calibri Light"/>
                <w:noProof/>
                <w:sz w:val="20"/>
              </w:rPr>
            </w:pPr>
          </w:p>
          <w:p w14:paraId="5717C82D" w14:textId="035DF45F" w:rsidR="00724EA1" w:rsidRPr="00724EA1" w:rsidRDefault="00724EA1" w:rsidP="00724EA1">
            <w:pPr>
              <w:rPr>
                <w:rFonts w:ascii="Calibri Light" w:hAnsi="Calibri Light"/>
                <w:noProof/>
                <w:sz w:val="20"/>
              </w:rPr>
            </w:pPr>
            <w:r>
              <w:rPr>
                <w:rFonts w:ascii="Calibri Light" w:hAnsi="Calibri Light"/>
                <w:noProof/>
                <w:sz w:val="20"/>
              </w:rPr>
              <w:t xml:space="preserve">Slides from these prensetations will be made available to faculty advisors via the Blackboard advisor site. </w:t>
            </w:r>
            <w:bookmarkStart w:id="0" w:name="_GoBack"/>
            <w:bookmarkEnd w:id="0"/>
          </w:p>
          <w:p w14:paraId="62ED5B37" w14:textId="77777777" w:rsidR="00724EA1" w:rsidRPr="00724EA1" w:rsidRDefault="00724EA1" w:rsidP="008B6179">
            <w:pPr>
              <w:rPr>
                <w:rFonts w:ascii="Calibri Light" w:hAnsi="Calibri Light"/>
                <w:noProof/>
                <w:sz w:val="20"/>
              </w:rPr>
            </w:pPr>
          </w:p>
        </w:tc>
        <w:tc>
          <w:tcPr>
            <w:tcW w:w="5940" w:type="dxa"/>
            <w:gridSpan w:val="2"/>
          </w:tcPr>
          <w:p w14:paraId="6A3CBE6E" w14:textId="77777777" w:rsidR="004D78C8" w:rsidRDefault="004D78C8" w:rsidP="00BE01D0">
            <w:pPr>
              <w:rPr>
                <w:rFonts w:asciiTheme="majorHAnsi" w:hAnsiTheme="majorHAnsi" w:cs="Arial"/>
                <w:b/>
                <w:bCs/>
                <w:spacing w:val="-2"/>
                <w:szCs w:val="20"/>
              </w:rPr>
            </w:pPr>
          </w:p>
          <w:p w14:paraId="633DBBC4" w14:textId="3A51E49C" w:rsidR="00BE01D0" w:rsidRDefault="00A90C45" w:rsidP="00BE01D0">
            <w:pPr>
              <w:rPr>
                <w:rFonts w:asciiTheme="majorHAnsi" w:hAnsiTheme="majorHAnsi" w:cs="Arial"/>
                <w:b/>
                <w:bCs/>
                <w:spacing w:val="-2"/>
                <w:szCs w:val="20"/>
              </w:rPr>
            </w:pPr>
            <w:r>
              <w:rPr>
                <w:rFonts w:asciiTheme="majorHAnsi" w:hAnsiTheme="majorHAnsi" w:cs="Arial"/>
                <w:b/>
                <w:bCs/>
                <w:spacing w:val="-2"/>
                <w:szCs w:val="20"/>
              </w:rPr>
              <w:t>Innovations in Mind faculty and staff campaign begins</w:t>
            </w:r>
            <w:r w:rsidR="00BE01D0">
              <w:rPr>
                <w:rFonts w:asciiTheme="majorHAnsi" w:hAnsiTheme="majorHAnsi" w:cs="Arial"/>
                <w:b/>
                <w:bCs/>
                <w:spacing w:val="-2"/>
                <w:szCs w:val="20"/>
              </w:rPr>
              <w:t>:</w:t>
            </w:r>
          </w:p>
          <w:p w14:paraId="41872D84" w14:textId="77777777" w:rsidR="00891507" w:rsidRPr="00891507" w:rsidRDefault="00891507" w:rsidP="00891507">
            <w:pPr>
              <w:rPr>
                <w:rFonts w:ascii="Calibri Light" w:hAnsi="Calibri Light"/>
                <w:sz w:val="19"/>
                <w:szCs w:val="19"/>
              </w:rPr>
            </w:pPr>
            <w:r w:rsidRPr="00891507">
              <w:rPr>
                <w:rFonts w:ascii="Calibri Light" w:hAnsi="Calibri Light"/>
                <w:sz w:val="19"/>
                <w:szCs w:val="19"/>
              </w:rPr>
              <w:t>As part of UTMB’s $50 million Innovations in Mind fundraising initiative, UTMB is welcoming all faculty and staff—members of the UTMB family—to make a personal contribution to the university. The initiative has four funding priorities:</w:t>
            </w:r>
          </w:p>
          <w:p w14:paraId="79E9FB3D" w14:textId="77777777" w:rsidR="00891507" w:rsidRPr="00891507" w:rsidRDefault="00891507" w:rsidP="00891507">
            <w:pPr>
              <w:numPr>
                <w:ilvl w:val="0"/>
                <w:numId w:val="26"/>
              </w:numPr>
              <w:rPr>
                <w:rFonts w:ascii="Calibri Light" w:hAnsi="Calibri Light"/>
                <w:sz w:val="19"/>
                <w:szCs w:val="19"/>
              </w:rPr>
            </w:pPr>
            <w:r w:rsidRPr="00891507">
              <w:rPr>
                <w:rFonts w:ascii="Calibri Light" w:hAnsi="Calibri Light"/>
                <w:sz w:val="19"/>
                <w:szCs w:val="19"/>
              </w:rPr>
              <w:t>Raising $22.6 million of the $90.4 million cost for the new Health Education Center</w:t>
            </w:r>
          </w:p>
          <w:p w14:paraId="20584EA5" w14:textId="77777777" w:rsidR="00891507" w:rsidRPr="00891507" w:rsidRDefault="00891507" w:rsidP="00891507">
            <w:pPr>
              <w:numPr>
                <w:ilvl w:val="0"/>
                <w:numId w:val="26"/>
              </w:numPr>
              <w:rPr>
                <w:rFonts w:ascii="Calibri Light" w:hAnsi="Calibri Light"/>
                <w:sz w:val="19"/>
                <w:szCs w:val="19"/>
              </w:rPr>
            </w:pPr>
            <w:r w:rsidRPr="00891507">
              <w:rPr>
                <w:rFonts w:ascii="Calibri Light" w:hAnsi="Calibri Light"/>
                <w:sz w:val="19"/>
                <w:szCs w:val="19"/>
              </w:rPr>
              <w:t>Supporting student scholarships</w:t>
            </w:r>
          </w:p>
          <w:p w14:paraId="76CDD09A" w14:textId="77777777" w:rsidR="00891507" w:rsidRPr="00891507" w:rsidRDefault="00891507" w:rsidP="00891507">
            <w:pPr>
              <w:numPr>
                <w:ilvl w:val="0"/>
                <w:numId w:val="26"/>
              </w:numPr>
              <w:rPr>
                <w:rFonts w:ascii="Calibri Light" w:hAnsi="Calibri Light"/>
                <w:sz w:val="19"/>
                <w:szCs w:val="19"/>
              </w:rPr>
            </w:pPr>
            <w:r w:rsidRPr="00891507">
              <w:rPr>
                <w:rFonts w:ascii="Calibri Light" w:hAnsi="Calibri Light"/>
                <w:sz w:val="19"/>
                <w:szCs w:val="19"/>
              </w:rPr>
              <w:t>Establishing faculty endowments</w:t>
            </w:r>
          </w:p>
          <w:p w14:paraId="50C89AC8" w14:textId="77777777" w:rsidR="00891507" w:rsidRPr="00891507" w:rsidRDefault="00891507" w:rsidP="00891507">
            <w:pPr>
              <w:numPr>
                <w:ilvl w:val="0"/>
                <w:numId w:val="26"/>
              </w:numPr>
              <w:rPr>
                <w:rFonts w:ascii="Calibri Light" w:hAnsi="Calibri Light"/>
                <w:sz w:val="19"/>
                <w:szCs w:val="19"/>
              </w:rPr>
            </w:pPr>
            <w:r w:rsidRPr="00891507">
              <w:rPr>
                <w:rFonts w:ascii="Calibri Light" w:hAnsi="Calibri Light"/>
                <w:sz w:val="19"/>
                <w:szCs w:val="19"/>
              </w:rPr>
              <w:t>Investing in UTMB’s pioneering neurodegenerative disorders research</w:t>
            </w:r>
          </w:p>
          <w:p w14:paraId="2EABE297" w14:textId="77777777" w:rsidR="00EA19EE" w:rsidRDefault="00891507" w:rsidP="00891507">
            <w:pPr>
              <w:rPr>
                <w:rFonts w:ascii="Calibri Light" w:hAnsi="Calibri Light"/>
                <w:sz w:val="19"/>
                <w:szCs w:val="19"/>
              </w:rPr>
            </w:pPr>
            <w:r w:rsidRPr="00891507">
              <w:rPr>
                <w:rFonts w:ascii="Calibri Light" w:hAnsi="Calibri Light"/>
                <w:sz w:val="19"/>
                <w:szCs w:val="19"/>
              </w:rPr>
              <w:t>This an opportunity for every employee to s</w:t>
            </w:r>
            <w:r w:rsidR="00C175AF">
              <w:rPr>
                <w:rFonts w:ascii="Calibri Light" w:hAnsi="Calibri Light"/>
                <w:sz w:val="19"/>
                <w:szCs w:val="19"/>
              </w:rPr>
              <w:t>upport UTMB’s future and</w:t>
            </w:r>
            <w:r w:rsidR="00EA19EE">
              <w:rPr>
                <w:rFonts w:ascii="Calibri Light" w:hAnsi="Calibri Light"/>
                <w:sz w:val="19"/>
                <w:szCs w:val="19"/>
              </w:rPr>
              <w:t xml:space="preserve"> </w:t>
            </w:r>
            <w:r w:rsidRPr="00891507">
              <w:rPr>
                <w:rFonts w:ascii="Calibri Light" w:hAnsi="Calibri Light"/>
                <w:sz w:val="19"/>
                <w:szCs w:val="19"/>
              </w:rPr>
              <w:t xml:space="preserve">reinforce UTMB’s commitment to innovation. </w:t>
            </w:r>
          </w:p>
          <w:p w14:paraId="1C730E6C" w14:textId="1320790D" w:rsidR="00BA429D" w:rsidRDefault="00891507" w:rsidP="00891507">
            <w:pPr>
              <w:rPr>
                <w:rFonts w:ascii="Calibri Light" w:hAnsi="Calibri Light"/>
                <w:sz w:val="19"/>
                <w:szCs w:val="19"/>
              </w:rPr>
            </w:pPr>
            <w:r w:rsidRPr="00891507">
              <w:rPr>
                <w:rFonts w:ascii="Calibri Light" w:hAnsi="Calibri Light"/>
                <w:sz w:val="19"/>
                <w:szCs w:val="19"/>
              </w:rPr>
              <w:t xml:space="preserve">Visit </w:t>
            </w:r>
            <w:hyperlink r:id="rId13" w:history="1">
              <w:r w:rsidRPr="00B04AA3">
                <w:rPr>
                  <w:rStyle w:val="Hyperlink"/>
                  <w:rFonts w:ascii="Calibri Light" w:hAnsi="Calibri Light"/>
                  <w:color w:val="FF0000"/>
                  <w:sz w:val="19"/>
                  <w:szCs w:val="19"/>
                </w:rPr>
                <w:t>https://innovationsinmind.utmb.edu/employee</w:t>
              </w:r>
            </w:hyperlink>
            <w:r w:rsidRPr="00891507">
              <w:rPr>
                <w:rFonts w:ascii="Calibri Light" w:hAnsi="Calibri Light"/>
                <w:sz w:val="19"/>
                <w:szCs w:val="19"/>
              </w:rPr>
              <w:t xml:space="preserve"> to learn more and make your gift.</w:t>
            </w:r>
          </w:p>
          <w:p w14:paraId="62B8F52E" w14:textId="77777777" w:rsidR="00891507" w:rsidRPr="00214F6F" w:rsidRDefault="00891507" w:rsidP="00891507">
            <w:pPr>
              <w:rPr>
                <w:rFonts w:ascii="Calibri Light" w:hAnsi="Calibri Light"/>
                <w:sz w:val="20"/>
                <w:szCs w:val="20"/>
              </w:rPr>
            </w:pPr>
          </w:p>
          <w:p w14:paraId="04FD18DC" w14:textId="58A79A42" w:rsidR="00BE01D0" w:rsidRPr="005D163A" w:rsidRDefault="00A6484E"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Merit pay increases</w:t>
            </w:r>
            <w:r w:rsidR="00BE01D0" w:rsidRPr="005D163A">
              <w:rPr>
                <w:rFonts w:asciiTheme="majorHAnsi" w:eastAsia="Times New Roman" w:hAnsiTheme="majorHAnsi" w:cs="Arial"/>
                <w:b/>
                <w:color w:val="000000" w:themeColor="text1"/>
                <w:szCs w:val="20"/>
              </w:rPr>
              <w:t xml:space="preserve">:  </w:t>
            </w:r>
          </w:p>
          <w:p w14:paraId="6DDBA4DD" w14:textId="68C06097" w:rsidR="00C46906" w:rsidRDefault="00DC2B44" w:rsidP="001D239E">
            <w:pPr>
              <w:rPr>
                <w:rFonts w:ascii="Calibri Light" w:hAnsi="Calibri Light" w:cs="Arial"/>
                <w:color w:val="000000" w:themeColor="text1"/>
                <w:sz w:val="19"/>
                <w:szCs w:val="19"/>
              </w:rPr>
            </w:pPr>
            <w:r w:rsidRPr="00DC2B44">
              <w:rPr>
                <w:rFonts w:ascii="Calibri Light" w:hAnsi="Calibri Light" w:cs="Arial"/>
                <w:color w:val="000000" w:themeColor="text1"/>
                <w:sz w:val="19"/>
                <w:szCs w:val="19"/>
              </w:rPr>
              <w:t>Merit pay increases for FY17 have been approved by UTMB’s executive leadership team and will be awarded in March to eligible employees in a Classified, Non-Teaching or A&amp;P position. Merit pay for Correctional Managed Care employees and Faculty members is handled separately through the Texas Department of Criminal Justice budget and Faculty Compensation and Incentive Plan. The university’s merit pay program is an important part of our total compensation strategy, and these increases are intended to recognize and reward employees for meeting or exceeding performance expectations. Total merit pools are determined by market trends, economic conditions and available funding, and employees must meet several criteria to be considered for an increase. See </w:t>
            </w:r>
            <w:proofErr w:type="spellStart"/>
            <w:r w:rsidR="00C22A7E">
              <w:fldChar w:fldCharType="begin"/>
            </w:r>
            <w:r w:rsidR="00C22A7E">
              <w:instrText xml:space="preserve"> HYPERLINK "http://intranet.utmb.edu/iutmb/" </w:instrText>
            </w:r>
            <w:r w:rsidR="00C22A7E">
              <w:fldChar w:fldCharType="separate"/>
            </w:r>
            <w:r w:rsidRPr="00B04AA3">
              <w:rPr>
                <w:rStyle w:val="Hyperlink"/>
                <w:rFonts w:ascii="Calibri Light" w:hAnsi="Calibri Light" w:cs="Arial"/>
                <w:color w:val="FF0000"/>
                <w:sz w:val="19"/>
                <w:szCs w:val="19"/>
              </w:rPr>
              <w:t>iUTMB</w:t>
            </w:r>
            <w:proofErr w:type="spellEnd"/>
            <w:r w:rsidR="00C22A7E">
              <w:rPr>
                <w:rStyle w:val="Hyperlink"/>
                <w:rFonts w:ascii="Calibri Light" w:hAnsi="Calibri Light" w:cs="Arial"/>
                <w:color w:val="FF0000"/>
                <w:sz w:val="19"/>
                <w:szCs w:val="19"/>
              </w:rPr>
              <w:fldChar w:fldCharType="end"/>
            </w:r>
            <w:r w:rsidRPr="00DC2B44">
              <w:rPr>
                <w:rFonts w:ascii="Calibri Light" w:hAnsi="Calibri Light" w:cs="Arial"/>
                <w:color w:val="000000" w:themeColor="text1"/>
                <w:sz w:val="19"/>
                <w:szCs w:val="19"/>
              </w:rPr>
              <w:t> for more details.</w:t>
            </w:r>
          </w:p>
          <w:p w14:paraId="22656114" w14:textId="77777777" w:rsidR="00DC2B44" w:rsidRDefault="00DC2B44" w:rsidP="001D239E">
            <w:pPr>
              <w:rPr>
                <w:rFonts w:ascii="Calibri Light" w:hAnsi="Calibri Light" w:cs="Arial"/>
                <w:color w:val="FF0000"/>
                <w:sz w:val="20"/>
                <w:szCs w:val="20"/>
                <w:u w:val="single" w:color="0950D0"/>
              </w:rPr>
            </w:pPr>
          </w:p>
          <w:p w14:paraId="1E50AE4B" w14:textId="5513D5E5" w:rsidR="00C46906" w:rsidRPr="005D163A" w:rsidRDefault="00A13ABA"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 System statement on statewide hiring freeze</w:t>
            </w:r>
            <w:r w:rsidR="00C46906" w:rsidRPr="005D163A">
              <w:rPr>
                <w:rFonts w:asciiTheme="majorHAnsi" w:eastAsia="Times New Roman" w:hAnsiTheme="majorHAnsi" w:cs="Arial"/>
                <w:b/>
                <w:color w:val="000000" w:themeColor="text1"/>
                <w:szCs w:val="20"/>
              </w:rPr>
              <w:t xml:space="preserve">:  </w:t>
            </w:r>
          </w:p>
          <w:p w14:paraId="049F116A" w14:textId="16056639" w:rsidR="00C46906" w:rsidRDefault="00A13ABA" w:rsidP="00C46906">
            <w:pPr>
              <w:rPr>
                <w:rFonts w:ascii="Calibri Light" w:hAnsi="Calibri Light" w:cs="Calibri"/>
                <w:color w:val="141213"/>
                <w:sz w:val="19"/>
                <w:szCs w:val="19"/>
              </w:rPr>
            </w:pPr>
            <w:r w:rsidRPr="00A13ABA">
              <w:rPr>
                <w:rFonts w:ascii="Calibri Light" w:hAnsi="Calibri Light" w:cs="Calibri"/>
                <w:color w:val="141213"/>
                <w:sz w:val="19"/>
                <w:szCs w:val="19"/>
              </w:rPr>
              <w:t>Texas Gov. Greg Abbott announced a statewide hiring freeze during his State of the State address on Jan. 31. According to a statement from the University of Texas System, the Governor’s call for a hiring freeze on state-funded positions will affect UT System administration and UT campuses. It is important to note that UT campuses have a wide variety of funding sources, and the impact of the freeze will vary from campus to campus. Based on UTMB’s total revenue,</w:t>
            </w:r>
            <w:r w:rsidR="00FB3638">
              <w:rPr>
                <w:rFonts w:ascii="Calibri Light" w:hAnsi="Calibri Light" w:cs="Calibri"/>
                <w:color w:val="141213"/>
                <w:sz w:val="19"/>
                <w:szCs w:val="19"/>
              </w:rPr>
              <w:t xml:space="preserve"> state funding represented 18.5 percent</w:t>
            </w:r>
            <w:r w:rsidRPr="00A13ABA">
              <w:rPr>
                <w:rFonts w:ascii="Calibri Light" w:hAnsi="Calibri Light" w:cs="Calibri"/>
                <w:color w:val="141213"/>
                <w:sz w:val="19"/>
                <w:szCs w:val="19"/>
              </w:rPr>
              <w:t xml:space="preserve"> of our budget in FY16. UT System officials are meeting with the Governor’s Office soon to clarify specifics. We will share additional information as soon as it becomes available. </w:t>
            </w:r>
          </w:p>
          <w:p w14:paraId="69C1CFF3" w14:textId="77777777" w:rsidR="00612F1D" w:rsidRDefault="00612F1D" w:rsidP="00C46906">
            <w:pPr>
              <w:rPr>
                <w:rFonts w:ascii="Calibri Light" w:hAnsi="Calibri Light" w:cs="Calibri"/>
                <w:color w:val="141213"/>
                <w:sz w:val="19"/>
                <w:szCs w:val="19"/>
              </w:rPr>
            </w:pPr>
          </w:p>
          <w:p w14:paraId="15BC9EA0" w14:textId="1B841C66" w:rsidR="00201047" w:rsidRPr="00201047" w:rsidRDefault="00201047" w:rsidP="00201047">
            <w:pPr>
              <w:rPr>
                <w:rFonts w:asciiTheme="majorHAnsi" w:eastAsia="Times New Roman" w:hAnsiTheme="majorHAnsi" w:cs="Arial"/>
                <w:color w:val="000000" w:themeColor="text1"/>
                <w:szCs w:val="20"/>
              </w:rPr>
            </w:pPr>
            <w:r>
              <w:rPr>
                <w:rFonts w:asciiTheme="majorHAnsi" w:eastAsia="Times New Roman" w:hAnsiTheme="majorHAnsi" w:cs="Arial"/>
                <w:b/>
                <w:color w:val="000000" w:themeColor="text1"/>
                <w:szCs w:val="20"/>
              </w:rPr>
              <w:t>John Sealy Hospital fire recovery</w:t>
            </w:r>
            <w:r w:rsidRPr="005D163A">
              <w:rPr>
                <w:rFonts w:asciiTheme="majorHAnsi" w:eastAsia="Times New Roman" w:hAnsiTheme="majorHAnsi" w:cs="Arial"/>
                <w:b/>
                <w:color w:val="000000" w:themeColor="text1"/>
                <w:szCs w:val="20"/>
              </w:rPr>
              <w:t xml:space="preserve">: </w:t>
            </w:r>
            <w:r w:rsidRPr="00F96C56">
              <w:rPr>
                <w:rFonts w:asciiTheme="majorHAnsi" w:eastAsia="Times New Roman" w:hAnsiTheme="majorHAnsi" w:cs="Arial"/>
                <w:color w:val="000000" w:themeColor="text1"/>
                <w:sz w:val="19"/>
                <w:szCs w:val="19"/>
              </w:rPr>
              <w:t>(see next page)</w:t>
            </w:r>
          </w:p>
          <w:p w14:paraId="33D5B003" w14:textId="40828533" w:rsidR="000415F1" w:rsidRPr="001D239E" w:rsidRDefault="000415F1" w:rsidP="000415F1">
            <w:pPr>
              <w:rPr>
                <w:rFonts w:ascii="Calibri Light" w:hAnsi="Calibri Light" w:cs="Arial"/>
                <w:color w:val="000000" w:themeColor="text1"/>
                <w:sz w:val="20"/>
                <w:szCs w:val="20"/>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7A09C60D">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F46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62"/>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20235465"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2DA4CF19" w:rsidR="00D12C2F" w:rsidRPr="005D163A" w:rsidRDefault="009B7ED4"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fire recovery</w:t>
            </w:r>
            <w:r w:rsidR="00D12C2F" w:rsidRPr="005D163A">
              <w:rPr>
                <w:rFonts w:asciiTheme="majorHAnsi" w:eastAsia="Times New Roman" w:hAnsiTheme="majorHAnsi" w:cs="Arial"/>
                <w:b/>
                <w:color w:val="000000" w:themeColor="text1"/>
                <w:szCs w:val="20"/>
              </w:rPr>
              <w:t xml:space="preserve">:  </w:t>
            </w:r>
          </w:p>
          <w:p w14:paraId="2A851097" w14:textId="77777777" w:rsidR="00755BD1" w:rsidRPr="009B7ED4" w:rsidRDefault="00755BD1" w:rsidP="00755BD1">
            <w:pPr>
              <w:rPr>
                <w:rFonts w:ascii="Calibri Light" w:hAnsi="Calibri Light" w:cs="Arial"/>
                <w:sz w:val="20"/>
                <w:szCs w:val="20"/>
              </w:rPr>
            </w:pPr>
            <w:r w:rsidRPr="009B7ED4">
              <w:rPr>
                <w:rFonts w:ascii="Calibri Light" w:hAnsi="Calibri Light" w:cs="Arial"/>
                <w:sz w:val="20"/>
                <w:szCs w:val="20"/>
              </w:rPr>
              <w:t>Cleanup and recovery operations continue at John Sealy Hospital on the Galveston Campus following the fire on Jan. 4. Here’s an update on the recovery efforts to date:</w:t>
            </w:r>
          </w:p>
          <w:p w14:paraId="4DDA3D48" w14:textId="77777777" w:rsidR="00755BD1" w:rsidRPr="009B7ED4" w:rsidRDefault="00755BD1" w:rsidP="00755BD1">
            <w:pPr>
              <w:numPr>
                <w:ilvl w:val="0"/>
                <w:numId w:val="26"/>
              </w:numPr>
              <w:rPr>
                <w:rFonts w:ascii="Calibri Light" w:hAnsi="Calibri Light" w:cs="Arial"/>
                <w:sz w:val="20"/>
                <w:szCs w:val="20"/>
              </w:rPr>
            </w:pPr>
            <w:r w:rsidRPr="009B7ED4">
              <w:rPr>
                <w:rFonts w:ascii="Calibri Light" w:hAnsi="Calibri Light" w:cs="Arial"/>
                <w:sz w:val="20"/>
                <w:szCs w:val="20"/>
              </w:rPr>
              <w:t>Major cleaning of all areas in John Sealy Hospital will be completed by Feb. 4.</w:t>
            </w:r>
          </w:p>
          <w:p w14:paraId="486DD77C" w14:textId="77777777" w:rsidR="00755BD1" w:rsidRPr="009B7ED4" w:rsidRDefault="00755BD1" w:rsidP="00755BD1">
            <w:pPr>
              <w:numPr>
                <w:ilvl w:val="0"/>
                <w:numId w:val="26"/>
              </w:numPr>
              <w:rPr>
                <w:rFonts w:ascii="Calibri Light" w:hAnsi="Calibri Light" w:cs="Arial"/>
                <w:sz w:val="20"/>
                <w:szCs w:val="20"/>
              </w:rPr>
            </w:pPr>
            <w:r w:rsidRPr="009B7ED4">
              <w:rPr>
                <w:rFonts w:ascii="Calibri Light" w:hAnsi="Calibri Light" w:cs="Arial"/>
                <w:sz w:val="20"/>
                <w:szCs w:val="20"/>
              </w:rPr>
              <w:t>The first floor will be opened to pedestrian access on Feb. 6, but all upper floors will remain closed to pedestrians and to patient care.</w:t>
            </w:r>
          </w:p>
          <w:p w14:paraId="38F09234" w14:textId="77777777" w:rsidR="00755BD1" w:rsidRPr="009B7ED4" w:rsidRDefault="00755BD1" w:rsidP="00755BD1">
            <w:pPr>
              <w:numPr>
                <w:ilvl w:val="0"/>
                <w:numId w:val="26"/>
              </w:numPr>
              <w:rPr>
                <w:rFonts w:ascii="Calibri Light" w:hAnsi="Calibri Light" w:cs="Arial"/>
                <w:sz w:val="20"/>
                <w:szCs w:val="20"/>
              </w:rPr>
            </w:pPr>
            <w:r w:rsidRPr="009B7ED4">
              <w:rPr>
                <w:rFonts w:ascii="Calibri Light" w:hAnsi="Calibri Light" w:cs="Arial"/>
                <w:sz w:val="20"/>
                <w:szCs w:val="20"/>
              </w:rPr>
              <w:t>Assessment, repair and re-certification of all floors (</w:t>
            </w:r>
            <w:r w:rsidRPr="009B7ED4">
              <w:rPr>
                <w:rFonts w:ascii="Calibri Light" w:hAnsi="Calibri Light" w:cs="Arial"/>
                <w:sz w:val="20"/>
                <w:szCs w:val="20"/>
                <w:u w:val="single"/>
              </w:rPr>
              <w:t>other than Level 2</w:t>
            </w:r>
            <w:r w:rsidRPr="009B7ED4">
              <w:rPr>
                <w:rFonts w:ascii="Calibri Light" w:hAnsi="Calibri Light" w:cs="Arial"/>
                <w:sz w:val="20"/>
                <w:szCs w:val="20"/>
              </w:rPr>
              <w:t>) will be completed by Feb. 28. They will be ready to re-occupy on March 1, and Health System is working on a detailed plan for that.</w:t>
            </w:r>
          </w:p>
          <w:p w14:paraId="0025ACC9" w14:textId="77777777" w:rsidR="00755BD1" w:rsidRPr="009B7ED4" w:rsidRDefault="00755BD1" w:rsidP="00755BD1">
            <w:pPr>
              <w:pStyle w:val="ListParagraph"/>
              <w:numPr>
                <w:ilvl w:val="0"/>
                <w:numId w:val="26"/>
              </w:numPr>
              <w:rPr>
                <w:rFonts w:ascii="Calibri Light" w:hAnsi="Calibri Light" w:cs="Arial"/>
                <w:sz w:val="20"/>
                <w:szCs w:val="20"/>
              </w:rPr>
            </w:pPr>
            <w:r w:rsidRPr="009B7ED4">
              <w:rPr>
                <w:rFonts w:ascii="Calibri Light" w:hAnsi="Calibri Light" w:cs="Arial"/>
                <w:sz w:val="20"/>
                <w:szCs w:val="20"/>
              </w:rPr>
              <w:t>Repair and assessment of the second floor is underway, but it’s expected to take six months to complete repairs to that floor.</w:t>
            </w:r>
          </w:p>
          <w:p w14:paraId="406250F8" w14:textId="77777777" w:rsidR="00755BD1" w:rsidRPr="009B7ED4" w:rsidRDefault="00755BD1" w:rsidP="00755BD1">
            <w:pPr>
              <w:pStyle w:val="ListParagraph"/>
              <w:numPr>
                <w:ilvl w:val="0"/>
                <w:numId w:val="26"/>
              </w:numPr>
              <w:rPr>
                <w:rFonts w:ascii="Calibri Light" w:hAnsi="Calibri Light" w:cs="Arial"/>
                <w:sz w:val="20"/>
                <w:szCs w:val="20"/>
              </w:rPr>
            </w:pPr>
            <w:r w:rsidRPr="009B7ED4">
              <w:rPr>
                <w:rFonts w:ascii="Calibri Light" w:hAnsi="Calibri Light" w:cs="Arial"/>
                <w:sz w:val="20"/>
                <w:szCs w:val="20"/>
              </w:rPr>
              <w:t>UTMB personnel continue to work with insurance teams to track our repair and business loss expenses for reimbursement.</w:t>
            </w:r>
          </w:p>
          <w:p w14:paraId="16C90B8C" w14:textId="77777777" w:rsidR="00755BD1" w:rsidRPr="009B7ED4" w:rsidRDefault="00755BD1" w:rsidP="00755BD1">
            <w:pPr>
              <w:rPr>
                <w:rFonts w:ascii="Calibri Light" w:hAnsi="Calibri Light" w:cs="Arial"/>
                <w:sz w:val="20"/>
                <w:szCs w:val="20"/>
              </w:rPr>
            </w:pPr>
          </w:p>
          <w:p w14:paraId="39CCA65E" w14:textId="5F5DF9FF" w:rsidR="00755BD1" w:rsidRPr="00B04AA3" w:rsidRDefault="00755BD1" w:rsidP="00755BD1">
            <w:pPr>
              <w:rPr>
                <w:rFonts w:ascii="Calibri Light" w:hAnsi="Calibri Light" w:cs="Arial"/>
                <w:sz w:val="20"/>
                <w:szCs w:val="20"/>
              </w:rPr>
            </w:pPr>
            <w:r w:rsidRPr="009B7ED4">
              <w:rPr>
                <w:rFonts w:ascii="Calibri Light" w:hAnsi="Calibri Light" w:cs="Arial"/>
                <w:sz w:val="20"/>
                <w:szCs w:val="20"/>
              </w:rPr>
              <w:t>For more information on the John Sealy Hospital fire recovery, please visit </w:t>
            </w:r>
            <w:hyperlink r:id="rId18" w:history="1">
              <w:r w:rsidRPr="00B04AA3">
                <w:rPr>
                  <w:rStyle w:val="Hyperlink"/>
                  <w:rFonts w:ascii="Calibri Light" w:hAnsi="Calibri Light" w:cs="Arial"/>
                  <w:color w:val="FF0000"/>
                  <w:sz w:val="20"/>
                  <w:szCs w:val="20"/>
                </w:rPr>
                <w:t>www.utmb.edu/recovery</w:t>
              </w:r>
            </w:hyperlink>
            <w:r w:rsidR="00B04AA3">
              <w:rPr>
                <w:rFonts w:ascii="Calibri Light" w:hAnsi="Calibri Light" w:cs="Arial"/>
                <w:sz w:val="20"/>
                <w:szCs w:val="20"/>
              </w:rPr>
              <w:t>.</w:t>
            </w:r>
          </w:p>
          <w:p w14:paraId="6DA64293" w14:textId="77777777" w:rsidR="00C46906" w:rsidRDefault="00C46906" w:rsidP="00A83199">
            <w:pPr>
              <w:rPr>
                <w:rFonts w:ascii="Calibri Light" w:hAnsi="Calibri Light" w:cs="Arial"/>
                <w:sz w:val="20"/>
                <w:szCs w:val="20"/>
              </w:rPr>
            </w:pPr>
          </w:p>
          <w:p w14:paraId="1E54E522" w14:textId="4E0C3F59" w:rsidR="004C3BE1" w:rsidRPr="005D163A" w:rsidRDefault="007E7731"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Lunch &amp; Learn</w:t>
            </w:r>
            <w:r w:rsidR="004C3BE1" w:rsidRPr="005D163A">
              <w:rPr>
                <w:rFonts w:asciiTheme="majorHAnsi" w:eastAsia="Times New Roman" w:hAnsiTheme="majorHAnsi" w:cs="Arial"/>
                <w:b/>
                <w:color w:val="000000" w:themeColor="text1"/>
                <w:szCs w:val="20"/>
              </w:rPr>
              <w:t xml:space="preserve">:  </w:t>
            </w:r>
          </w:p>
          <w:p w14:paraId="606EAC5E" w14:textId="0196E1F2" w:rsidR="00F21CCC" w:rsidRDefault="007E7731" w:rsidP="00A83199">
            <w:pPr>
              <w:rPr>
                <w:rFonts w:ascii="Calibri Light" w:hAnsi="Calibri Light" w:cs="Arial"/>
                <w:sz w:val="20"/>
                <w:szCs w:val="20"/>
              </w:rPr>
            </w:pPr>
            <w:r w:rsidRPr="007E7731">
              <w:rPr>
                <w:rFonts w:ascii="Calibri Light" w:hAnsi="Calibri Light" w:cs="Arial"/>
                <w:sz w:val="20"/>
                <w:szCs w:val="20"/>
              </w:rPr>
              <w:t xml:space="preserve">The next Best Care Lunch &amp; Learn will be held Feb. 8 at noon in Levin </w:t>
            </w:r>
            <w:r w:rsidR="00AB4862">
              <w:rPr>
                <w:rFonts w:ascii="Calibri Light" w:hAnsi="Calibri Light" w:cs="Arial"/>
                <w:sz w:val="20"/>
                <w:szCs w:val="20"/>
              </w:rPr>
              <w:t>Hall Dining Room. The topic is </w:t>
            </w:r>
            <w:r w:rsidRPr="007E7731">
              <w:rPr>
                <w:rFonts w:ascii="Calibri Light" w:hAnsi="Calibri Light" w:cs="Arial"/>
                <w:sz w:val="20"/>
                <w:szCs w:val="20"/>
              </w:rPr>
              <w:t>“Reducing Length of Stay and the Patient Resource Optimization Program” with Deb McGrew, vice president and chief operating officer of the Health System. Sessions are streamed live online and are video recorded. Find more information at </w:t>
            </w:r>
            <w:hyperlink r:id="rId19" w:history="1">
              <w:r w:rsidRPr="00B04AA3">
                <w:rPr>
                  <w:rStyle w:val="Hyperlink"/>
                  <w:rFonts w:ascii="Calibri Light" w:hAnsi="Calibri Light" w:cs="Arial"/>
                  <w:color w:val="FF0000"/>
                  <w:sz w:val="20"/>
                  <w:szCs w:val="20"/>
                </w:rPr>
                <w:t>http://intranet.utmb.edu/best-care</w:t>
              </w:r>
            </w:hyperlink>
            <w:r w:rsidRPr="007E7731">
              <w:rPr>
                <w:rFonts w:ascii="Calibri Light" w:hAnsi="Calibri Light" w:cs="Arial"/>
                <w:sz w:val="20"/>
                <w:szCs w:val="20"/>
              </w:rPr>
              <w:t>.</w:t>
            </w:r>
          </w:p>
          <w:p w14:paraId="10D7725C" w14:textId="77777777" w:rsidR="00F21CCC" w:rsidRDefault="00F21CCC" w:rsidP="00A83199">
            <w:pPr>
              <w:rPr>
                <w:rFonts w:ascii="Calibri Light" w:hAnsi="Calibri Light" w:cs="Arial"/>
                <w:sz w:val="20"/>
                <w:szCs w:val="20"/>
              </w:rPr>
            </w:pPr>
          </w:p>
          <w:p w14:paraId="344AEF97" w14:textId="77777777" w:rsidR="00F21CCC" w:rsidRPr="00F21CCC" w:rsidRDefault="00F21CCC" w:rsidP="00A83199">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66E3C5E1">
                      <wp:simplePos x="0" y="0"/>
                      <wp:positionH relativeFrom="column">
                        <wp:posOffset>-50800</wp:posOffset>
                      </wp:positionH>
                      <wp:positionV relativeFrom="paragraph">
                        <wp:posOffset>83185</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ACEF78"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6.55pt" to="2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" strokecolor="black [3213]"/>
                  </w:pict>
                </mc:Fallback>
              </mc:AlternateContent>
            </w:r>
          </w:p>
          <w:p w14:paraId="6C9DA0C6" w14:textId="75EADD2F" w:rsidR="00F21CCC" w:rsidRDefault="00F21CCC" w:rsidP="00F21CCC">
            <w:pPr>
              <w:spacing w:before="120"/>
              <w:rPr>
                <w:rFonts w:ascii="Calibri Light" w:hAnsi="Calibri Light" w:cs="Arial"/>
                <w:bCs/>
                <w:color w:val="000000"/>
                <w:sz w:val="20"/>
                <w:szCs w:val="20"/>
              </w:rPr>
            </w:pPr>
            <w:r>
              <w:rPr>
                <w:noProof/>
              </w:rPr>
              <w:drawing>
                <wp:inline distT="0" distB="0" distL="0" distR="0" wp14:anchorId="6BD33310" wp14:editId="205AE633">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sidR="002A526C">
              <w:rPr>
                <w:rFonts w:asciiTheme="majorHAnsi" w:hAnsiTheme="majorHAnsi"/>
                <w:b/>
              </w:rPr>
              <w:t>Annual TB screening</w:t>
            </w:r>
            <w:r>
              <w:rPr>
                <w:rFonts w:asciiTheme="majorHAnsi" w:hAnsiTheme="majorHAnsi"/>
                <w:b/>
              </w:rPr>
              <w:t>:</w:t>
            </w:r>
            <w:r>
              <w:rPr>
                <w:rFonts w:ascii="Calibri Light" w:hAnsi="Calibri Light" w:cs="Arial"/>
                <w:bCs/>
                <w:color w:val="000000"/>
                <w:sz w:val="20"/>
                <w:szCs w:val="20"/>
              </w:rPr>
              <w:t xml:space="preserve"> </w:t>
            </w:r>
          </w:p>
          <w:p w14:paraId="527308FE" w14:textId="7D502A5D" w:rsidR="002A526C" w:rsidRPr="002A526C" w:rsidRDefault="002A526C" w:rsidP="002A526C">
            <w:pPr>
              <w:widowControl w:val="0"/>
              <w:autoSpaceDE w:val="0"/>
              <w:autoSpaceDN w:val="0"/>
              <w:adjustRightInd w:val="0"/>
              <w:rPr>
                <w:rFonts w:ascii="Calibri Light" w:hAnsi="Calibri Light" w:cs="Arial"/>
                <w:sz w:val="20"/>
                <w:szCs w:val="20"/>
              </w:rPr>
            </w:pPr>
            <w:r w:rsidRPr="002A526C">
              <w:rPr>
                <w:rFonts w:ascii="Calibri Light" w:hAnsi="Calibri Light" w:cs="Arial"/>
                <w:sz w:val="20"/>
                <w:szCs w:val="20"/>
              </w:rPr>
              <w:t>The deadline for all health care workers to complete their annual tuberculosis (TB) screening for FY17 is May 31. Annual screenings are a condition of continued employment for anyone who provides direct patient care, enters patient rooms and/or comes within six feet of patients in the course of his or her duties. (IHOP Policy 8.1.2: </w:t>
            </w:r>
            <w:hyperlink r:id="rId20" w:history="1">
              <w:r w:rsidRPr="00B04AA3">
                <w:rPr>
                  <w:rStyle w:val="Hyperlink"/>
                  <w:rFonts w:ascii="Calibri Light" w:hAnsi="Calibri Light" w:cs="Arial"/>
                  <w:color w:val="FF0000"/>
                  <w:sz w:val="20"/>
                  <w:szCs w:val="20"/>
                </w:rPr>
                <w:t>https://utmb.us/1f</w:t>
              </w:r>
            </w:hyperlink>
            <w:r w:rsidRPr="002A526C">
              <w:rPr>
                <w:rFonts w:ascii="Calibri Light" w:hAnsi="Calibri Light" w:cs="Arial"/>
                <w:sz w:val="20"/>
                <w:szCs w:val="20"/>
              </w:rPr>
              <w:t>)</w:t>
            </w:r>
          </w:p>
          <w:p w14:paraId="222CDEA1" w14:textId="77777777" w:rsidR="002A526C" w:rsidRPr="002A526C" w:rsidRDefault="002A526C" w:rsidP="002A526C">
            <w:pPr>
              <w:widowControl w:val="0"/>
              <w:autoSpaceDE w:val="0"/>
              <w:autoSpaceDN w:val="0"/>
              <w:adjustRightInd w:val="0"/>
              <w:rPr>
                <w:rFonts w:ascii="Calibri Light" w:hAnsi="Calibri Light" w:cs="Arial"/>
                <w:sz w:val="20"/>
                <w:szCs w:val="20"/>
              </w:rPr>
            </w:pPr>
            <w:r w:rsidRPr="002A526C">
              <w:rPr>
                <w:rFonts w:ascii="Calibri Light" w:hAnsi="Calibri Light" w:cs="Arial"/>
                <w:sz w:val="20"/>
                <w:szCs w:val="20"/>
              </w:rPr>
              <w:t>To assist with this requirement, TB testing will be offered:</w:t>
            </w:r>
          </w:p>
          <w:p w14:paraId="2E657E9C" w14:textId="77777777" w:rsidR="002A526C" w:rsidRPr="002A526C" w:rsidRDefault="002A526C" w:rsidP="002A526C">
            <w:pPr>
              <w:widowControl w:val="0"/>
              <w:numPr>
                <w:ilvl w:val="0"/>
                <w:numId w:val="26"/>
              </w:numPr>
              <w:autoSpaceDE w:val="0"/>
              <w:autoSpaceDN w:val="0"/>
              <w:adjustRightInd w:val="0"/>
              <w:rPr>
                <w:rFonts w:ascii="Calibri Light" w:hAnsi="Calibri Light" w:cs="Arial"/>
                <w:sz w:val="20"/>
                <w:szCs w:val="20"/>
              </w:rPr>
            </w:pPr>
            <w:r w:rsidRPr="002A526C">
              <w:rPr>
                <w:rFonts w:ascii="Calibri Light" w:hAnsi="Calibri Light" w:cs="Arial"/>
                <w:sz w:val="20"/>
                <w:szCs w:val="20"/>
              </w:rPr>
              <w:t>Angleton Danbury Campus Hospital – Feb. 14 and 16</w:t>
            </w:r>
          </w:p>
          <w:p w14:paraId="06B70263" w14:textId="77777777" w:rsidR="002A526C" w:rsidRPr="002A526C" w:rsidRDefault="002A526C" w:rsidP="002A526C">
            <w:pPr>
              <w:widowControl w:val="0"/>
              <w:numPr>
                <w:ilvl w:val="0"/>
                <w:numId w:val="26"/>
              </w:numPr>
              <w:autoSpaceDE w:val="0"/>
              <w:autoSpaceDN w:val="0"/>
              <w:adjustRightInd w:val="0"/>
              <w:rPr>
                <w:rFonts w:ascii="Calibri Light" w:hAnsi="Calibri Light" w:cs="Arial"/>
                <w:sz w:val="20"/>
                <w:szCs w:val="20"/>
              </w:rPr>
            </w:pPr>
            <w:r w:rsidRPr="002A526C">
              <w:rPr>
                <w:rFonts w:ascii="Calibri Light" w:hAnsi="Calibri Light" w:cs="Arial"/>
                <w:sz w:val="20"/>
                <w:szCs w:val="20"/>
              </w:rPr>
              <w:t>Jennie Sealy Hospital – Feb. 21, 22, 23, 24 and 27 </w:t>
            </w:r>
            <w:r w:rsidRPr="002A526C">
              <w:rPr>
                <w:rFonts w:ascii="Calibri Light" w:hAnsi="Calibri Light" w:cs="Arial"/>
                <w:i/>
                <w:iCs/>
                <w:sz w:val="20"/>
                <w:szCs w:val="20"/>
              </w:rPr>
              <w:t>and</w:t>
            </w:r>
            <w:r w:rsidRPr="002A526C">
              <w:rPr>
                <w:rFonts w:ascii="Calibri Light" w:hAnsi="Calibri Light" w:cs="Arial"/>
                <w:sz w:val="20"/>
                <w:szCs w:val="20"/>
              </w:rPr>
              <w:t> March 21, 22, 23, 24 and 27</w:t>
            </w:r>
          </w:p>
          <w:p w14:paraId="35E35008" w14:textId="77777777" w:rsidR="002A526C" w:rsidRPr="002A526C" w:rsidRDefault="002A526C" w:rsidP="002A526C">
            <w:pPr>
              <w:widowControl w:val="0"/>
              <w:numPr>
                <w:ilvl w:val="0"/>
                <w:numId w:val="26"/>
              </w:numPr>
              <w:autoSpaceDE w:val="0"/>
              <w:autoSpaceDN w:val="0"/>
              <w:adjustRightInd w:val="0"/>
              <w:rPr>
                <w:rFonts w:ascii="Calibri Light" w:hAnsi="Calibri Light" w:cs="Arial"/>
                <w:sz w:val="20"/>
                <w:szCs w:val="20"/>
              </w:rPr>
            </w:pPr>
            <w:r w:rsidRPr="002A526C">
              <w:rPr>
                <w:rFonts w:ascii="Calibri Light" w:hAnsi="Calibri Light" w:cs="Arial"/>
                <w:sz w:val="20"/>
                <w:szCs w:val="20"/>
              </w:rPr>
              <w:t>League City Campus Hospital – March 7, 8, 9 and 10</w:t>
            </w:r>
          </w:p>
          <w:p w14:paraId="6C8201FE" w14:textId="77777777" w:rsidR="002A526C" w:rsidRPr="002A526C" w:rsidRDefault="002A526C" w:rsidP="002A526C">
            <w:pPr>
              <w:widowControl w:val="0"/>
              <w:autoSpaceDE w:val="0"/>
              <w:autoSpaceDN w:val="0"/>
              <w:adjustRightInd w:val="0"/>
              <w:rPr>
                <w:rFonts w:ascii="Calibri Light" w:hAnsi="Calibri Light" w:cs="Arial"/>
                <w:sz w:val="20"/>
                <w:szCs w:val="20"/>
              </w:rPr>
            </w:pPr>
            <w:r w:rsidRPr="002A526C">
              <w:rPr>
                <w:rFonts w:ascii="Calibri Light" w:hAnsi="Calibri Light" w:cs="Arial"/>
                <w:sz w:val="20"/>
                <w:szCs w:val="20"/>
              </w:rPr>
              <w:t> </w:t>
            </w:r>
          </w:p>
          <w:p w14:paraId="762DC59C" w14:textId="0DF8A9F2" w:rsidR="00E35816" w:rsidRPr="00F21CCC" w:rsidRDefault="002A526C" w:rsidP="002A526C">
            <w:pPr>
              <w:widowControl w:val="0"/>
              <w:autoSpaceDE w:val="0"/>
              <w:autoSpaceDN w:val="0"/>
              <w:adjustRightInd w:val="0"/>
              <w:rPr>
                <w:rFonts w:ascii="Calibri Light" w:hAnsi="Calibri Light" w:cs="Helvetica"/>
                <w:sz w:val="20"/>
                <w:szCs w:val="20"/>
              </w:rPr>
            </w:pPr>
            <w:r w:rsidRPr="002A526C">
              <w:rPr>
                <w:rFonts w:ascii="Calibri Light" w:hAnsi="Calibri Light" w:cs="Arial"/>
                <w:sz w:val="20"/>
                <w:szCs w:val="20"/>
              </w:rPr>
              <w:t>Please note that TB testing for CMC is handled separately. See </w:t>
            </w:r>
            <w:hyperlink r:id="rId21" w:history="1">
              <w:r w:rsidRPr="00B04AA3">
                <w:rPr>
                  <w:rStyle w:val="Hyperlink"/>
                  <w:rFonts w:ascii="Calibri Light" w:hAnsi="Calibri Light" w:cs="Arial"/>
                  <w:color w:val="FF0000"/>
                  <w:sz w:val="20"/>
                  <w:szCs w:val="20"/>
                </w:rPr>
                <w:t>https://hr.utmb.edu/ehc/tb/</w:t>
              </w:r>
            </w:hyperlink>
            <w:r w:rsidRPr="002A526C">
              <w:rPr>
                <w:rFonts w:ascii="Calibri Light" w:hAnsi="Calibri Light" w:cs="Arial"/>
                <w:sz w:val="20"/>
                <w:szCs w:val="20"/>
              </w:rPr>
              <w:t xml:space="preserve"> for more details about TB testing opportunities and health care worker requirements.</w:t>
            </w:r>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6CEEF127" w14:textId="20352CC6" w:rsidR="00F21CCC" w:rsidRDefault="00F21CCC" w:rsidP="00F21CCC">
            <w:pPr>
              <w:spacing w:before="120"/>
              <w:rPr>
                <w:rFonts w:ascii="Calibri Light" w:hAnsi="Calibri Light" w:cs="Arial"/>
                <w:bCs/>
                <w:color w:val="000000"/>
                <w:sz w:val="20"/>
                <w:szCs w:val="20"/>
              </w:rPr>
            </w:pPr>
            <w:r>
              <w:rPr>
                <w:noProof/>
              </w:rPr>
              <w:drawing>
                <wp:inline distT="0" distB="0" distL="0" distR="0" wp14:anchorId="5A3DEFE4" wp14:editId="1528F4F8">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sidR="00D97845">
              <w:rPr>
                <w:rFonts w:asciiTheme="majorHAnsi" w:hAnsiTheme="majorHAnsi"/>
                <w:b/>
              </w:rPr>
              <w:t>January 2017 Epic optimizations</w:t>
            </w:r>
            <w:r>
              <w:rPr>
                <w:rFonts w:asciiTheme="majorHAnsi" w:hAnsiTheme="majorHAnsi"/>
                <w:b/>
              </w:rPr>
              <w:t>:</w:t>
            </w:r>
            <w:r>
              <w:rPr>
                <w:rFonts w:ascii="Calibri Light" w:hAnsi="Calibri Light" w:cs="Arial"/>
                <w:bCs/>
                <w:color w:val="000000"/>
                <w:sz w:val="20"/>
                <w:szCs w:val="20"/>
              </w:rPr>
              <w:t xml:space="preserve"> </w:t>
            </w:r>
          </w:p>
          <w:p w14:paraId="391E2376" w14:textId="77777777" w:rsidR="00A7221A" w:rsidRDefault="00A7221A" w:rsidP="00F21CCC">
            <w:pPr>
              <w:rPr>
                <w:rFonts w:ascii="Calibri Light" w:hAnsi="Calibri Light" w:cs="Arial"/>
                <w:sz w:val="20"/>
                <w:szCs w:val="20"/>
              </w:rPr>
            </w:pPr>
            <w:r w:rsidRPr="00A7221A">
              <w:rPr>
                <w:rFonts w:ascii="Calibri Light" w:hAnsi="Calibri Light" w:cs="Arial"/>
                <w:sz w:val="20"/>
                <w:szCs w:val="20"/>
              </w:rPr>
              <w:t>Visit </w:t>
            </w:r>
            <w:hyperlink r:id="rId22" w:history="1">
              <w:r w:rsidRPr="00B04AA3">
                <w:rPr>
                  <w:rStyle w:val="Hyperlink"/>
                  <w:rFonts w:ascii="Calibri Light" w:hAnsi="Calibri Light" w:cs="Arial"/>
                  <w:color w:val="FF0000"/>
                  <w:sz w:val="20"/>
                  <w:szCs w:val="20"/>
                </w:rPr>
                <w:t>intranet.utmb.edu/</w:t>
              </w:r>
              <w:proofErr w:type="spellStart"/>
              <w:r w:rsidRPr="00B04AA3">
                <w:rPr>
                  <w:rStyle w:val="Hyperlink"/>
                  <w:rFonts w:ascii="Calibri Light" w:hAnsi="Calibri Light" w:cs="Arial"/>
                  <w:color w:val="FF0000"/>
                  <w:sz w:val="20"/>
                  <w:szCs w:val="20"/>
                </w:rPr>
                <w:t>emr</w:t>
              </w:r>
              <w:proofErr w:type="spellEnd"/>
            </w:hyperlink>
            <w:r w:rsidRPr="00A7221A">
              <w:rPr>
                <w:rFonts w:ascii="Calibri Light" w:hAnsi="Calibri Light" w:cs="Arial"/>
                <w:sz w:val="20"/>
                <w:szCs w:val="20"/>
              </w:rPr>
              <w:t xml:space="preserve"> for a list of new ambulatory/inpatient workflows. Last month, the following were added/updated: charge capture for critical care, consult notes, documenting medication administration, managing patient calls, </w:t>
            </w:r>
            <w:proofErr w:type="spellStart"/>
            <w:r w:rsidRPr="00A7221A">
              <w:rPr>
                <w:rFonts w:ascii="Calibri Light" w:hAnsi="Calibri Light" w:cs="Arial"/>
                <w:sz w:val="20"/>
                <w:szCs w:val="20"/>
              </w:rPr>
              <w:t>MyChart</w:t>
            </w:r>
            <w:proofErr w:type="spellEnd"/>
            <w:r w:rsidRPr="00A7221A">
              <w:rPr>
                <w:rFonts w:ascii="Calibri Light" w:hAnsi="Calibri Light" w:cs="Arial"/>
                <w:sz w:val="20"/>
                <w:szCs w:val="20"/>
              </w:rPr>
              <w:t xml:space="preserve"> – Viewing patient questionnaire, screening for </w:t>
            </w:r>
            <w:proofErr w:type="spellStart"/>
            <w:r w:rsidRPr="00A7221A">
              <w:rPr>
                <w:rFonts w:ascii="Calibri Light" w:hAnsi="Calibri Light" w:cs="Arial"/>
                <w:sz w:val="20"/>
                <w:szCs w:val="20"/>
              </w:rPr>
              <w:t>Hep</w:t>
            </w:r>
            <w:proofErr w:type="spellEnd"/>
            <w:r w:rsidRPr="00A7221A">
              <w:rPr>
                <w:rFonts w:ascii="Calibri Light" w:hAnsi="Calibri Light" w:cs="Arial"/>
                <w:sz w:val="20"/>
                <w:szCs w:val="20"/>
              </w:rPr>
              <w:t xml:space="preserve">-C, and </w:t>
            </w:r>
            <w:proofErr w:type="spellStart"/>
            <w:r w:rsidRPr="00A7221A">
              <w:rPr>
                <w:rFonts w:ascii="Calibri Light" w:hAnsi="Calibri Light" w:cs="Arial"/>
                <w:sz w:val="20"/>
                <w:szCs w:val="20"/>
              </w:rPr>
              <w:t>Weblink</w:t>
            </w:r>
            <w:proofErr w:type="spellEnd"/>
            <w:r w:rsidRPr="00A7221A">
              <w:rPr>
                <w:rFonts w:ascii="Calibri Light" w:hAnsi="Calibri Light" w:cs="Arial"/>
                <w:sz w:val="20"/>
                <w:szCs w:val="20"/>
              </w:rPr>
              <w:t xml:space="preserve">: </w:t>
            </w:r>
            <w:proofErr w:type="spellStart"/>
            <w:r w:rsidRPr="00A7221A">
              <w:rPr>
                <w:rFonts w:ascii="Calibri Light" w:hAnsi="Calibri Light" w:cs="Arial"/>
                <w:sz w:val="20"/>
                <w:szCs w:val="20"/>
              </w:rPr>
              <w:t>GoodRx</w:t>
            </w:r>
            <w:proofErr w:type="spellEnd"/>
            <w:r w:rsidRPr="00A7221A">
              <w:rPr>
                <w:rFonts w:ascii="Calibri Light" w:hAnsi="Calibri Light" w:cs="Arial"/>
                <w:sz w:val="20"/>
                <w:szCs w:val="20"/>
              </w:rPr>
              <w:t xml:space="preserve"> (enables providers to search for the lowest cost of a medication).</w:t>
            </w:r>
          </w:p>
          <w:p w14:paraId="7BB6DD64" w14:textId="544328A1" w:rsidR="00F21CCC" w:rsidRPr="00F21CCC" w:rsidRDefault="00F21CCC" w:rsidP="00F21CCC">
            <w:pPr>
              <w:rPr>
                <w:rFonts w:ascii="Calibri Light" w:hAnsi="Calibri Light" w:cs="Arial"/>
                <w:sz w:val="20"/>
                <w:szCs w:val="20"/>
              </w:rPr>
            </w:pPr>
            <w:r w:rsidRPr="00F21CCC">
              <w:rPr>
                <w:rFonts w:ascii="Calibri Light" w:hAnsi="Calibri Light" w:cs="Arial"/>
                <w:bCs/>
                <w:sz w:val="20"/>
                <w:szCs w:val="20"/>
              </w:rPr>
              <w:t xml:space="preserve"> </w:t>
            </w:r>
          </w:p>
          <w:p w14:paraId="31583B91" w14:textId="532B600D" w:rsidR="00F21CCC" w:rsidRDefault="000F5BB7" w:rsidP="00F21CCC">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660DE829" wp14:editId="7E11242B">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00F21CCC">
              <w:rPr>
                <w:rFonts w:asciiTheme="majorHAnsi" w:hAnsiTheme="majorHAnsi"/>
                <w:b/>
              </w:rPr>
              <w:t xml:space="preserve"> </w:t>
            </w:r>
            <w:r>
              <w:rPr>
                <w:rFonts w:asciiTheme="majorHAnsi" w:hAnsiTheme="majorHAnsi"/>
                <w:b/>
              </w:rPr>
              <w:t>Congratulations</w:t>
            </w:r>
            <w:r w:rsidR="00F21CCC">
              <w:rPr>
                <w:rFonts w:asciiTheme="majorHAnsi" w:hAnsiTheme="majorHAnsi"/>
                <w:b/>
              </w:rPr>
              <w:t>:</w:t>
            </w:r>
            <w:r w:rsidR="00F21CCC">
              <w:rPr>
                <w:rFonts w:ascii="Calibri Light" w:hAnsi="Calibri Light" w:cs="Arial"/>
                <w:bCs/>
                <w:color w:val="000000"/>
                <w:sz w:val="20"/>
                <w:szCs w:val="20"/>
              </w:rPr>
              <w:t xml:space="preserve"> </w:t>
            </w:r>
          </w:p>
          <w:p w14:paraId="18380013" w14:textId="40D59011" w:rsidR="00B57173" w:rsidRPr="00F21CCC" w:rsidRDefault="003F06F3" w:rsidP="005F6DE6">
            <w:pPr>
              <w:rPr>
                <w:rFonts w:ascii="Calibri Light" w:hAnsi="Calibri Light"/>
                <w:sz w:val="20"/>
                <w:szCs w:val="20"/>
              </w:rPr>
            </w:pPr>
            <w:r w:rsidRPr="003F06F3">
              <w:rPr>
                <w:rFonts w:ascii="Calibri Light" w:hAnsi="Calibri Light" w:cs="Arial"/>
                <w:sz w:val="20"/>
                <w:szCs w:val="20"/>
              </w:rPr>
              <w:t>Dr. Chris Fry, assistant professor in the Department of Nutrition and Metabolism in UTMB's School of Health Professions, will be honored with the 2017 New Investigator Award from the American Physiological Society Section on Environmental and Exercise Physiology at its Experimental Biology Meeting in April.  </w:t>
            </w:r>
          </w:p>
        </w:tc>
      </w:tr>
      <w:tr w:rsidR="00824F3C" w14:paraId="09FE0D10" w14:textId="77777777" w:rsidTr="00B57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4108C1AC" w:rsidR="008B7918" w:rsidRPr="00F46FF8" w:rsidRDefault="0013173F" w:rsidP="00694829">
            <w:pPr>
              <w:rPr>
                <w:rFonts w:ascii="Calibri Light" w:hAnsi="Calibri Light"/>
                <w:sz w:val="20"/>
                <w:szCs w:val="20"/>
              </w:rPr>
            </w:pPr>
            <w:r w:rsidRPr="0013173F">
              <w:rPr>
                <w:rFonts w:ascii="Calibri Light" w:hAnsi="Calibri Light" w:cs="Helvetica"/>
                <w:sz w:val="20"/>
                <w:szCs w:val="20"/>
              </w:rPr>
              <w:t>Turnover rates at UTMB—for staff, faculty and nursing employees—are considered exceptional compared to the national average. For instance, according to the Bureau of Labor Statistics’ Job Openings and Labor Turnover Survey, the average turnover rate nationally for education and health services industries staff was 31.2 percent while UTMB’s was just 16.5 percent. At the faculty level, the tur</w:t>
            </w:r>
            <w:r w:rsidR="00F44145">
              <w:rPr>
                <w:rFonts w:ascii="Calibri Light" w:hAnsi="Calibri Light" w:cs="Helvetica"/>
                <w:sz w:val="20"/>
                <w:szCs w:val="20"/>
              </w:rPr>
              <w:t>nover rate at UTMB in 2016 was 7</w:t>
            </w:r>
            <w:r w:rsidRPr="0013173F">
              <w:rPr>
                <w:rFonts w:ascii="Calibri Light" w:hAnsi="Calibri Light" w:cs="Helvetica"/>
                <w:sz w:val="20"/>
                <w:szCs w:val="20"/>
              </w:rPr>
              <w:t>.9 percent. Faculty turnover rates less than 20 percent are considered excellent. Finally, the average nursing turnover rate nationally in 2016 was 23.6 percent, compared to 12.6 percent at UTMB.</w:t>
            </w:r>
          </w:p>
        </w:tc>
      </w:tr>
    </w:tbl>
    <w:p w14:paraId="7247DB5A" w14:textId="77777777"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ADEC1" w14:textId="77777777" w:rsidR="005069DA" w:rsidRDefault="005069DA" w:rsidP="00874B86">
      <w:r>
        <w:separator/>
      </w:r>
    </w:p>
  </w:endnote>
  <w:endnote w:type="continuationSeparator" w:id="0">
    <w:p w14:paraId="75B0F9CF" w14:textId="77777777" w:rsidR="005069DA" w:rsidRDefault="005069D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8641" w14:textId="77777777" w:rsidR="005069DA" w:rsidRDefault="005069DA" w:rsidP="00874B86">
      <w:r>
        <w:separator/>
      </w:r>
    </w:p>
  </w:footnote>
  <w:footnote w:type="continuationSeparator" w:id="0">
    <w:p w14:paraId="21D6D2BA" w14:textId="77777777" w:rsidR="005069DA" w:rsidRDefault="005069DA"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C22A7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65pt;height:220.05pt;visibility:visible;mso-wrap-style:square" o:bullet="t">
        <v:imagedata r:id="rId1" o:title=""/>
      </v:shape>
    </w:pict>
  </w:numPicBullet>
  <w:numPicBullet w:numPicBulletId="1">
    <w:pict>
      <v:shape id="_x0000_i1027" type="#_x0000_t75" style="width:112.3pt;height:76.05pt;visibility:visible;mso-wrap-style:square" o:bullet="t">
        <v:imagedata r:id="rId2" o:title=""/>
      </v:shape>
    </w:pict>
  </w:numPicBullet>
  <w:numPicBullet w:numPicBulletId="2">
    <w:pict>
      <v:shape id="_x0000_i1028" type="#_x0000_t75" style="width:70.85pt;height:61.05pt;visibility:visible;mso-wrap-style:square" o:bullet="t">
        <v:imagedata r:id="rId3" o:title=""/>
      </v:shape>
    </w:pict>
  </w:numPicBullet>
  <w:numPicBullet w:numPicBulletId="3">
    <w:pict>
      <v:shape id="_x0000_i1029" type="#_x0000_t75" style="width:224.65pt;height:221.2pt;visibility:visible;mso-wrap-style:square" o:bullet="t">
        <v:imagedata r:id="rId4" o:title=""/>
      </v:shape>
    </w:pict>
  </w:numPicBullet>
  <w:numPicBullet w:numPicBulletId="4">
    <w:pict>
      <v:shape id="_x0000_i1030" type="#_x0000_t75" style="width:112.9pt;height:132.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1">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4">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7">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8">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6"/>
  </w:num>
  <w:num w:numId="5">
    <w:abstractNumId w:val="39"/>
  </w:num>
  <w:num w:numId="6">
    <w:abstractNumId w:val="9"/>
  </w:num>
  <w:num w:numId="7">
    <w:abstractNumId w:val="23"/>
  </w:num>
  <w:num w:numId="8">
    <w:abstractNumId w:val="5"/>
  </w:num>
  <w:num w:numId="9">
    <w:abstractNumId w:val="33"/>
  </w:num>
  <w:num w:numId="10">
    <w:abstractNumId w:val="19"/>
  </w:num>
  <w:num w:numId="11">
    <w:abstractNumId w:val="15"/>
  </w:num>
  <w:num w:numId="12">
    <w:abstractNumId w:val="35"/>
  </w:num>
  <w:num w:numId="13">
    <w:abstractNumId w:val="11"/>
  </w:num>
  <w:num w:numId="14">
    <w:abstractNumId w:val="12"/>
  </w:num>
  <w:num w:numId="15">
    <w:abstractNumId w:val="10"/>
  </w:num>
  <w:num w:numId="16">
    <w:abstractNumId w:val="26"/>
  </w:num>
  <w:num w:numId="17">
    <w:abstractNumId w:val="37"/>
  </w:num>
  <w:num w:numId="18">
    <w:abstractNumId w:val="17"/>
  </w:num>
  <w:num w:numId="19">
    <w:abstractNumId w:val="30"/>
  </w:num>
  <w:num w:numId="20">
    <w:abstractNumId w:val="3"/>
  </w:num>
  <w:num w:numId="21">
    <w:abstractNumId w:val="7"/>
  </w:num>
  <w:num w:numId="22">
    <w:abstractNumId w:val="2"/>
  </w:num>
  <w:num w:numId="23">
    <w:abstractNumId w:val="16"/>
  </w:num>
  <w:num w:numId="24">
    <w:abstractNumId w:val="25"/>
  </w:num>
  <w:num w:numId="25">
    <w:abstractNumId w:val="4"/>
  </w:num>
  <w:num w:numId="26">
    <w:abstractNumId w:val="0"/>
  </w:num>
  <w:num w:numId="27">
    <w:abstractNumId w:val="24"/>
  </w:num>
  <w:num w:numId="28">
    <w:abstractNumId w:val="32"/>
  </w:num>
  <w:num w:numId="29">
    <w:abstractNumId w:val="14"/>
  </w:num>
  <w:num w:numId="30">
    <w:abstractNumId w:val="31"/>
  </w:num>
  <w:num w:numId="31">
    <w:abstractNumId w:val="8"/>
  </w:num>
  <w:num w:numId="32">
    <w:abstractNumId w:val="34"/>
  </w:num>
  <w:num w:numId="33">
    <w:abstractNumId w:val="28"/>
  </w:num>
  <w:num w:numId="34">
    <w:abstractNumId w:val="29"/>
  </w:num>
  <w:num w:numId="35">
    <w:abstractNumId w:val="22"/>
  </w:num>
  <w:num w:numId="36">
    <w:abstractNumId w:val="38"/>
  </w:num>
  <w:num w:numId="37">
    <w:abstractNumId w:val="27"/>
  </w:num>
  <w:num w:numId="38">
    <w:abstractNumId w:val="20"/>
  </w:num>
  <w:num w:numId="39">
    <w:abstractNumId w:val="21"/>
  </w:num>
  <w:num w:numId="4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15F1"/>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0F5BB7"/>
    <w:rsid w:val="00112068"/>
    <w:rsid w:val="001276F3"/>
    <w:rsid w:val="0013173F"/>
    <w:rsid w:val="0016087C"/>
    <w:rsid w:val="00161A12"/>
    <w:rsid w:val="001767B8"/>
    <w:rsid w:val="001838A0"/>
    <w:rsid w:val="001A2490"/>
    <w:rsid w:val="001A7128"/>
    <w:rsid w:val="001A732C"/>
    <w:rsid w:val="001B5AE8"/>
    <w:rsid w:val="001B7C99"/>
    <w:rsid w:val="001C4A7F"/>
    <w:rsid w:val="001D239E"/>
    <w:rsid w:val="001E36E7"/>
    <w:rsid w:val="001E6192"/>
    <w:rsid w:val="001E7922"/>
    <w:rsid w:val="001F26BB"/>
    <w:rsid w:val="001F63BC"/>
    <w:rsid w:val="00201047"/>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A526C"/>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01F8"/>
    <w:rsid w:val="003A20EF"/>
    <w:rsid w:val="003A3D5E"/>
    <w:rsid w:val="003A4577"/>
    <w:rsid w:val="003C139A"/>
    <w:rsid w:val="003C153E"/>
    <w:rsid w:val="003C7C60"/>
    <w:rsid w:val="003D0B4E"/>
    <w:rsid w:val="003D338D"/>
    <w:rsid w:val="003D7706"/>
    <w:rsid w:val="003E061E"/>
    <w:rsid w:val="003F0266"/>
    <w:rsid w:val="003F06F3"/>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D78C8"/>
    <w:rsid w:val="004F74F1"/>
    <w:rsid w:val="00502D6C"/>
    <w:rsid w:val="005069DA"/>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D363A"/>
    <w:rsid w:val="005E5DD1"/>
    <w:rsid w:val="005E7BE5"/>
    <w:rsid w:val="005F6B08"/>
    <w:rsid w:val="005F6DE6"/>
    <w:rsid w:val="0060605B"/>
    <w:rsid w:val="0060696E"/>
    <w:rsid w:val="00607FE9"/>
    <w:rsid w:val="00612F1D"/>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4EA1"/>
    <w:rsid w:val="007252A6"/>
    <w:rsid w:val="00727536"/>
    <w:rsid w:val="00727C45"/>
    <w:rsid w:val="00732060"/>
    <w:rsid w:val="00737032"/>
    <w:rsid w:val="0073723F"/>
    <w:rsid w:val="00755BD1"/>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7731"/>
    <w:rsid w:val="00803F67"/>
    <w:rsid w:val="00813BC9"/>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4A23"/>
    <w:rsid w:val="00891507"/>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2CA0"/>
    <w:rsid w:val="0092350C"/>
    <w:rsid w:val="009271A3"/>
    <w:rsid w:val="00931124"/>
    <w:rsid w:val="009324E3"/>
    <w:rsid w:val="00936B3A"/>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B7ED4"/>
    <w:rsid w:val="009C2829"/>
    <w:rsid w:val="009C2B17"/>
    <w:rsid w:val="009D2F90"/>
    <w:rsid w:val="009D36E9"/>
    <w:rsid w:val="009E0224"/>
    <w:rsid w:val="009E5FAD"/>
    <w:rsid w:val="009F504E"/>
    <w:rsid w:val="009F6435"/>
    <w:rsid w:val="009F7C23"/>
    <w:rsid w:val="00A109FA"/>
    <w:rsid w:val="00A1295B"/>
    <w:rsid w:val="00A13ABA"/>
    <w:rsid w:val="00A24C8F"/>
    <w:rsid w:val="00A33081"/>
    <w:rsid w:val="00A44121"/>
    <w:rsid w:val="00A454B2"/>
    <w:rsid w:val="00A6484E"/>
    <w:rsid w:val="00A7221A"/>
    <w:rsid w:val="00A73B89"/>
    <w:rsid w:val="00A7783B"/>
    <w:rsid w:val="00A83199"/>
    <w:rsid w:val="00A84CDE"/>
    <w:rsid w:val="00A86EA8"/>
    <w:rsid w:val="00A90C45"/>
    <w:rsid w:val="00A92F52"/>
    <w:rsid w:val="00A94E3B"/>
    <w:rsid w:val="00A95999"/>
    <w:rsid w:val="00A972A5"/>
    <w:rsid w:val="00AA3BCC"/>
    <w:rsid w:val="00AA3DAA"/>
    <w:rsid w:val="00AB4862"/>
    <w:rsid w:val="00AB5B90"/>
    <w:rsid w:val="00AB6E66"/>
    <w:rsid w:val="00AC6DF5"/>
    <w:rsid w:val="00AD0ECC"/>
    <w:rsid w:val="00AF5DE4"/>
    <w:rsid w:val="00AF61B3"/>
    <w:rsid w:val="00B03D08"/>
    <w:rsid w:val="00B04AA3"/>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00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AF"/>
    <w:rsid w:val="00C175F9"/>
    <w:rsid w:val="00C22A7E"/>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97845"/>
    <w:rsid w:val="00DA23AB"/>
    <w:rsid w:val="00DA307E"/>
    <w:rsid w:val="00DA638A"/>
    <w:rsid w:val="00DA76D0"/>
    <w:rsid w:val="00DA7742"/>
    <w:rsid w:val="00DC2B44"/>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43ADB"/>
    <w:rsid w:val="00E76215"/>
    <w:rsid w:val="00E840C8"/>
    <w:rsid w:val="00E87236"/>
    <w:rsid w:val="00E87D19"/>
    <w:rsid w:val="00EA0165"/>
    <w:rsid w:val="00EA19EE"/>
    <w:rsid w:val="00ED5C1C"/>
    <w:rsid w:val="00ED6E29"/>
    <w:rsid w:val="00EE0C3F"/>
    <w:rsid w:val="00EE4C13"/>
    <w:rsid w:val="00EF556C"/>
    <w:rsid w:val="00F106B3"/>
    <w:rsid w:val="00F11ACA"/>
    <w:rsid w:val="00F13FE9"/>
    <w:rsid w:val="00F21CCC"/>
    <w:rsid w:val="00F44145"/>
    <w:rsid w:val="00F446B2"/>
    <w:rsid w:val="00F46FF8"/>
    <w:rsid w:val="00F5234B"/>
    <w:rsid w:val="00F610ED"/>
    <w:rsid w:val="00F8146E"/>
    <w:rsid w:val="00F900D9"/>
    <w:rsid w:val="00F90B4D"/>
    <w:rsid w:val="00F91754"/>
    <w:rsid w:val="00F96C56"/>
    <w:rsid w:val="00F97CB7"/>
    <w:rsid w:val="00FA0541"/>
    <w:rsid w:val="00FA173F"/>
    <w:rsid w:val="00FA1A08"/>
    <w:rsid w:val="00FA5C0E"/>
    <w:rsid w:val="00FB3638"/>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339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innovationsinmind.utmb.edu/employee" TargetMode="External"/><Relationship Id="rId18" Type="http://schemas.openxmlformats.org/officeDocument/2006/relationships/hyperlink" Target="https://www.utmb.edu/recov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r.utmb.edu/ehc/tb/"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utmb.us/1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http://intranet.utmb.edu/best-care/default.asp"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9.png"/><Relationship Id="rId22" Type="http://schemas.openxmlformats.org/officeDocument/2006/relationships/hyperlink" Target="http://intranet.utmb.edu/em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AB78-6B86-4C74-92D5-C677C399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2017-02-02T17:27:00Z</cp:lastPrinted>
  <dcterms:created xsi:type="dcterms:W3CDTF">2017-02-07T19:49:00Z</dcterms:created>
  <dcterms:modified xsi:type="dcterms:W3CDTF">2017-02-07T19:49:00Z</dcterms:modified>
</cp:coreProperties>
</file>